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2"/>
          <w:szCs w:val="22"/>
        </w:rPr>
      </w:pP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 xml:space="preserve">Дело № 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0812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</w:t>
      </w:r>
      <w:r>
        <w:rPr>
          <w:rFonts w:ascii="Times New Roman" w:eastAsia="Times New Roman" w:hAnsi="Times New Roman" w:cs="Times New Roman"/>
        </w:rPr>
        <w:t>02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назначении административного наказания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tabs>
          <w:tab w:val="left" w:pos="3615"/>
        </w:tabs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город Сургут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03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right="21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Ханты-</w:t>
      </w:r>
      <w:r>
        <w:rPr>
          <w:rFonts w:ascii="Times New Roman" w:eastAsia="Times New Roman" w:hAnsi="Times New Roman" w:cs="Times New Roman"/>
          <w:sz w:val="28"/>
          <w:szCs w:val="28"/>
        </w:rPr>
        <w:t>Мансийского автономного округа – Югры Бордунов М.Б., расположенного по адресу: ХМАО - Югра, г. Сургут, ул. Гагарина, д. 9, каб. 308,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в от</w:t>
      </w:r>
      <w:r>
        <w:rPr>
          <w:rFonts w:ascii="Times New Roman" w:eastAsia="Times New Roman" w:hAnsi="Times New Roman" w:cs="Times New Roman"/>
          <w:sz w:val="28"/>
          <w:szCs w:val="28"/>
        </w:rPr>
        <w:t>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«ПАРТНЕР» (далее ООО «ПАРТНЕР»), </w:t>
      </w:r>
      <w:r>
        <w:rPr>
          <w:rStyle w:val="cat-UserDefinedgrp-32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совершении административного прав</w:t>
      </w:r>
      <w:r>
        <w:rPr>
          <w:rFonts w:ascii="Times New Roman" w:eastAsia="Times New Roman" w:hAnsi="Times New Roman" w:cs="Times New Roman"/>
          <w:sz w:val="28"/>
          <w:szCs w:val="28"/>
        </w:rPr>
        <w:t>онарушения, предусмотренного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4.1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КоАП РФ,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11.03.2026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ООО «ПАРТНЕР»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3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предоставило </w:t>
      </w:r>
      <w:r>
        <w:rPr>
          <w:rFonts w:ascii="Times New Roman" w:eastAsia="Times New Roman" w:hAnsi="Times New Roman" w:cs="Times New Roman"/>
          <w:sz w:val="28"/>
          <w:szCs w:val="28"/>
        </w:rPr>
        <w:t>по требованию сотрудника ТО Управления Роспотребнадзора в г. Сургуте и Сургутском районе документы, необходимые для осуществления государственного санитарного надзора, а также не предоставило доступ на полигон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чем </w:t>
      </w:r>
      <w:r>
        <w:rPr>
          <w:rFonts w:ascii="Times New Roman" w:eastAsia="Times New Roman" w:hAnsi="Times New Roman" w:cs="Times New Roman"/>
          <w:sz w:val="28"/>
          <w:szCs w:val="28"/>
        </w:rPr>
        <w:t>совершил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правонарушение,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предусмотренное </w:t>
      </w:r>
      <w:r>
        <w:rPr>
          <w:rFonts w:ascii="Times New Roman" w:eastAsia="Times New Roman" w:hAnsi="Times New Roman" w:cs="Times New Roman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19.</w:t>
      </w:r>
      <w:r>
        <w:rPr>
          <w:rFonts w:ascii="Times New Roman" w:eastAsia="Times New Roman" w:hAnsi="Times New Roman" w:cs="Times New Roman"/>
          <w:sz w:val="28"/>
          <w:szCs w:val="28"/>
        </w:rPr>
        <w:t>4.1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Представитель </w:t>
      </w:r>
      <w:r>
        <w:rPr>
          <w:rFonts w:ascii="Times New Roman" w:eastAsia="Times New Roman" w:hAnsi="Times New Roman" w:cs="Times New Roman"/>
          <w:sz w:val="28"/>
          <w:szCs w:val="28"/>
        </w:rPr>
        <w:t>ООО «ПАРТНЕР»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извещен надлежащим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образом, о причинах неявки суд не уведомил, ходатайств не заявлял. Суд рассмотрел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представителя ООО «ПАРТНЕР»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Изучив материалы дела, суд пришел к следующим выводам.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ч.7 ст.31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</w:t>
      </w:r>
      <w:r>
        <w:rPr>
          <w:rFonts w:ascii="Times New Roman" w:eastAsia="Times New Roman" w:hAnsi="Times New Roman" w:cs="Times New Roman"/>
          <w:sz w:val="28"/>
          <w:szCs w:val="28"/>
        </w:rPr>
        <w:t>31 июля 2020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48</w:t>
      </w:r>
      <w:r>
        <w:rPr>
          <w:rFonts w:ascii="Times New Roman" w:eastAsia="Times New Roman" w:hAnsi="Times New Roman" w:cs="Times New Roman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 государственном контроле (надзоре) и муниципальном контроле в Российской Федерации», </w:t>
      </w:r>
      <w:r>
        <w:rPr>
          <w:rFonts w:ascii="Times New Roman" w:eastAsia="Times New Roman" w:hAnsi="Times New Roman" w:cs="Times New Roman"/>
          <w:sz w:val="28"/>
          <w:szCs w:val="28"/>
        </w:rPr>
        <w:t>при проведении контрольных (надзорных) мероприятий и совершении контрольных (надзорных) действий, которые в соответствии с требованиями настоящего Федерального закона должны проводиться в присутствии контролируемого лица либо его представителя, присутствие контролируемого лица либо его представителя обязательно, за исключением проведения контрольных (надзорных) мероприятий, совершения контрольных (надзорных) действий, не требующих взаимодействия с контролируемым лицом.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требованиям ч. 4, 5 ст. 21, ч. 2 ст. 64 Федерального закона от 31.07.2020 N 248-ФЗ «О государственном контроле (надзоре) и муниципальном контроле в Российской Федерации», контролируемое лицо считается проинформированным надлежащим образом в случае, если: информирование контролируемого лица о совершаемых должностными лицами контрольного (надзорного) органа и принимаемых решениях осуществляется в сроки и порядке, установленные настоящим Федеральным законом, 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услуг и исполнения государственных и муниципальных функций в электронной форме, в том числе через федеральную государственную информационную систему "Единый портал государственных и муниципальных услуг (функций)" и (или) через региональный портал государственных и муниципальных услуг (функций), предусматривающего взаимодействие с контролируемым лицом, может быть начато после внесения в единый реестр контрольных (надзорных) мероприятий, установленных правилами его формирования и ведения, за исключением случаев неработоспособности единого реестра контрольных (надзорных) мероприятий, зафиксированных оператором реестра.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требованиям ч.ч.10, 11 ст. 65 Федерального закона от 31.07.2020 N 248-ФЗ "О государственном контроле (надзоре) и муниципальном контроле в Российской Федерации" в случае, если проведение контрольного (надзорного) мероприятия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либо в связи с иными действиями (бездействием) контролируемого лица, повлекшими невозможность проведения или завершения контрольного (надзорного) мероприятия, инспектор составляет акт о невозможности проведения контрольного (надзорного) мероприятия, предусматривающего взаимодействие с контролируемым лицом, с указанием причин и информирует контролируемого о невозможности проведения контрольного (надзорного) мероприятия, предусматривающего взаимодействие с контролируемым лицом, в порядке, установленном Федеральным законом. В этом случае контрольное (надзорное) мероприятие в рамках указанного контроля будет проводиться в порядке, установленном Федеральным законом.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В подтверждение виновности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ООО «ПАРТНЕР»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материал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дела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представительны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документы: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 об административно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95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13.05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списки почтовых отправлений; уведомление о составлении протокола об административном правонарушении;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выписка из ЕГРЮЛ;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копия требования о проведении контрольного (надзорного) мероприятия; выписка из решения о проведении выездной проверки от 10.03.2026; выписка из акта о невозможности проведения контрольного (надзорного) мероприятия; копия протокола осмотра; фотографии </w:t>
      </w:r>
      <w:r>
        <w:rPr>
          <w:rFonts w:ascii="Times New Roman" w:eastAsia="Times New Roman" w:hAnsi="Times New Roman" w:cs="Times New Roman"/>
          <w:sz w:val="28"/>
          <w:szCs w:val="28"/>
        </w:rPr>
        <w:t>и другие материалы.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нашедшими своё объективное подтверждение в ходе судебного разбирательства.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ООО «ПАРТНЕР» мировой судья квалифицирует по ч. 1 ст. 19.4.1 КоАП РФ - воспрепятствование законной деятельности должностного лица органа государственного контроля (надзора), органа государственного финансового контроля, должностного лица организации, уполномоченной в соответствии с федеральными законами на осуществление государственного контроля (надзора), должностного лица органа муниципального контроля, органа муниципального финансового контроля по проведению контрольных (надзорных) мероприятий </w:t>
      </w:r>
      <w:r>
        <w:rPr>
          <w:rFonts w:ascii="Times New Roman" w:eastAsia="Times New Roman" w:hAnsi="Times New Roman" w:cs="Times New Roman"/>
          <w:sz w:val="28"/>
          <w:szCs w:val="28"/>
        </w:rPr>
        <w:t>или уклонение от таких мероприятий, за исключением случаев, предусмотренных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dst11693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12 статьи 12.21.1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5" w:anchor="dst377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4 статьи 14.24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6" w:anchor="dst434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9 статьи 15.29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7" w:anchor="dst654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статьями 19.4.2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8" w:anchor="dst10849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19.4.3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настоящего Кодекса.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предусмотренных ст. 4.2 КоАП РФ, судом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предусмотренных ст. 4.3 </w:t>
      </w:r>
      <w:r>
        <w:rPr>
          <w:rFonts w:ascii="Times New Roman" w:eastAsia="Times New Roman" w:hAnsi="Times New Roman" w:cs="Times New Roman"/>
          <w:sz w:val="28"/>
          <w:szCs w:val="28"/>
        </w:rPr>
        <w:t>КоАП РФ, суд не усматривает.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меры наказания суд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учитывает характер и степень общественной опасности правонарушения.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 и руководствуясь ст. ст. 29.9 - 29.11 КоАП РФ, мировой судья,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бществ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ограниченной ответственностью «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ПАРТНЕР»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виновным в совершении административного правонарушения, предусмотренного ч. 1 ст. 19.4.1 КоАП РФ, и подвергнуть административному наказанию в виде штрафа в размере 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000 (пяти тысяч) рублей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городской суд путем подачи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Ханты-Мансийского автономного округа – Югры в течение десяти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М.Б. Бордунов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Мировой судья судебного участка №2 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03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июня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0812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О.П. Куликова</w:t>
      </w: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ind w:firstLine="708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Административный штраф перечислять на реквизиты: получатель: УФК по Ханты-Мансийскому автономному округу – Югре (Управление Роспотребнадзора по Ханты-Мансийскому автономному округу – Югре), е</w:t>
      </w:r>
      <w:r>
        <w:rPr>
          <w:rFonts w:ascii="Times New Roman" w:eastAsia="Times New Roman" w:hAnsi="Times New Roman" w:cs="Times New Roman"/>
          <w:sz w:val="22"/>
          <w:szCs w:val="22"/>
        </w:rPr>
        <w:t>диный казначейский счет: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>40102810245370000007 в РКЦ г. Ханты-Мансийска, н</w:t>
      </w:r>
      <w:r>
        <w:rPr>
          <w:rFonts w:ascii="Times New Roman" w:eastAsia="Times New Roman" w:hAnsi="Times New Roman" w:cs="Times New Roman"/>
          <w:sz w:val="22"/>
          <w:szCs w:val="22"/>
        </w:rPr>
        <w:t>омер казначейского счета: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0310064300000018700 в РКЦ Ханты-Мансийска // УФК по Ханты-Мансийскому автономному округу – Югре, </w:t>
      </w:r>
      <w:r>
        <w:rPr>
          <w:rFonts w:ascii="Times New Roman" w:eastAsia="Times New Roman" w:hAnsi="Times New Roman" w:cs="Times New Roman"/>
          <w:sz w:val="22"/>
          <w:szCs w:val="22"/>
        </w:rPr>
        <w:t>БИК: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007162163, </w:t>
      </w:r>
      <w:r>
        <w:rPr>
          <w:rFonts w:ascii="Times New Roman" w:eastAsia="Times New Roman" w:hAnsi="Times New Roman" w:cs="Times New Roman"/>
          <w:sz w:val="22"/>
          <w:szCs w:val="22"/>
        </w:rPr>
        <w:t>ОКТМО: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>71876000,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л/с: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>04871788310,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КБК: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141 1 16 01191 01 0401 140, </w:t>
      </w:r>
      <w:r>
        <w:rPr>
          <w:rFonts w:ascii="Times New Roman" w:eastAsia="Times New Roman" w:hAnsi="Times New Roman" w:cs="Times New Roman"/>
          <w:sz w:val="22"/>
          <w:szCs w:val="22"/>
        </w:rPr>
        <w:t>ИНН: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8601024794, </w:t>
      </w:r>
      <w:r>
        <w:rPr>
          <w:rFonts w:ascii="Times New Roman" w:eastAsia="Times New Roman" w:hAnsi="Times New Roman" w:cs="Times New Roman"/>
          <w:sz w:val="22"/>
          <w:szCs w:val="22"/>
        </w:rPr>
        <w:t>КПП: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>860101001</w:t>
      </w:r>
      <w:r>
        <w:rPr>
          <w:rFonts w:ascii="Times New Roman" w:eastAsia="Times New Roman" w:hAnsi="Times New Roman" w:cs="Times New Roman"/>
          <w:sz w:val="22"/>
          <w:szCs w:val="22"/>
        </w:rPr>
        <w:t>, УИН:</w:t>
      </w:r>
      <w:r>
        <w:rPr>
          <w:rFonts w:ascii="Times New Roman" w:eastAsia="Times New Roman" w:hAnsi="Times New Roman" w:cs="Times New Roman"/>
          <w:sz w:val="22"/>
          <w:szCs w:val="22"/>
        </w:rPr>
        <w:t> </w:t>
      </w:r>
      <w:r>
        <w:rPr>
          <w:rFonts w:ascii="Times New Roman" w:eastAsia="Times New Roman" w:hAnsi="Times New Roman" w:cs="Times New Roman"/>
          <w:sz w:val="22"/>
          <w:szCs w:val="22"/>
        </w:rPr>
        <w:t>1410486000870020</w:t>
      </w:r>
      <w:r>
        <w:rPr>
          <w:rFonts w:ascii="Times New Roman" w:eastAsia="Times New Roman" w:hAnsi="Times New Roman" w:cs="Times New Roman"/>
          <w:sz w:val="22"/>
          <w:szCs w:val="22"/>
        </w:rPr>
        <w:t>6181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>
      <w:pPr>
        <w:spacing w:before="0" w:after="0"/>
        <w:ind w:firstLine="708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Штраф подлежит оплате в течение 60 дней, копия квитанции предоставляется в каб.105 дома 9 по ул. Гагарина г. Сургута.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jc w:val="both"/>
        <w:rPr>
          <w:sz w:val="22"/>
          <w:szCs w:val="22"/>
        </w:rPr>
      </w:pPr>
    </w:p>
    <w:sectPr>
      <w:headerReference w:type="default" r:id="rId9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901327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2rplc-7">
    <w:name w:val="cat-UserDefined grp-32 rplc-7"/>
    <w:basedOn w:val="DefaultParagraphFont"/>
  </w:style>
  <w:style w:type="character" w:customStyle="1" w:styleId="cat-UserDefinedgrp-33rplc-13">
    <w:name w:val="cat-UserDefined grp-33 rplc-1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523865/f727c535f35518ba16c7d51b782a5f6ed67b76a3/" TargetMode="External" /><Relationship Id="rId5" Type="http://schemas.openxmlformats.org/officeDocument/2006/relationships/hyperlink" Target="https://www.consultant.ru/document/cons_doc_LAW_523865/7d11e283c417dde451585f82d7b51ccf0a70dfd9/" TargetMode="External" /><Relationship Id="rId6" Type="http://schemas.openxmlformats.org/officeDocument/2006/relationships/hyperlink" Target="https://www.consultant.ru/document/cons_doc_LAW_523865/f7a73ccddc3a88c1cb716bbc7101cc6d315fe443/" TargetMode="External" /><Relationship Id="rId7" Type="http://schemas.openxmlformats.org/officeDocument/2006/relationships/hyperlink" Target="https://www.consultant.ru/document/cons_doc_LAW_523865/0ff6dc8e71b0e8df9c1d8efae456e40f878903ee/" TargetMode="External" /><Relationship Id="rId8" Type="http://schemas.openxmlformats.org/officeDocument/2006/relationships/hyperlink" Target="https://www.consultant.ru/document/cons_doc_LAW_523865/bc40dabf906b361971767c78d80d0d0f36b69f39/" TargetMode="External" /><Relationship Id="rId9" Type="http://schemas.openxmlformats.org/officeDocument/2006/relationships/header" Target="header1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70CED-BD1F-4FA0-B668-975D45073C1E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